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1" w:leader="none"/>
          <w:tab w:val="left" w:pos="1985" w:leader="none"/>
          <w:tab w:val="left" w:pos="2410" w:leader="none"/>
          <w:tab w:val="center" w:pos="4680" w:leader="none"/>
        </w:tabs>
        <w:ind w:left="5387" w:right="-6" w:hanging="142"/>
        <w:jc w:val="both"/>
        <w:rPr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3555" w:leader="none"/>
        </w:tabs>
        <w:ind w:right="-6" w:hanging="0"/>
        <w:jc w:val="both"/>
        <w:rPr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3</w:t>
      </w:r>
    </w:p>
    <w:p>
      <w:pPr>
        <w:pStyle w:val="Normal"/>
        <w:suppressAutoHyphens w:val="true"/>
        <w:ind w:left="5670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 рішення міської ради</w:t>
      </w:r>
    </w:p>
    <w:p>
      <w:pPr>
        <w:pStyle w:val="Normal"/>
        <w:suppressAutoHyphens w:val="true"/>
        <w:ind w:left="5670" w:hang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     </w:t>
      </w:r>
      <w:r>
        <w:rPr>
          <w:b/>
          <w:bCs/>
          <w:sz w:val="28"/>
          <w:szCs w:val="28"/>
        </w:rPr>
        <w:t xml:space="preserve">грудня </w:t>
      </w:r>
      <w:r>
        <w:rPr>
          <w:b/>
          <w:bCs/>
          <w:sz w:val="28"/>
          <w:szCs w:val="28"/>
        </w:rPr>
        <w:t xml:space="preserve">2024 року № </w:t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СТРУКТУРА ТА ЗАГАЛЬНА ЧИСЕЛЬНІСТЬ</w:t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28"/>
          <w:szCs w:val="28"/>
        </w:rPr>
        <w:t>управління освіти, молоді та спорту міської ради</w:t>
      </w:r>
    </w:p>
    <w:p>
      <w:pPr>
        <w:pStyle w:val="Normal"/>
        <w:suppressAutoHyphens w:val="true"/>
        <w:ind w:right="140" w:hanging="0"/>
        <w:jc w:val="both"/>
        <w:rPr>
          <w:rFonts w:ascii="Times New Roman CYR" w:hAnsi="Times New Roman CYR" w:cs="Times New Roman CYR"/>
          <w:b/>
          <w:bCs/>
          <w:kern w:val="2"/>
        </w:rPr>
      </w:pPr>
      <w:r>
        <w:rPr>
          <w:rFonts w:cs="Times New Roman CYR" w:ascii="Times New Roman CYR" w:hAnsi="Times New Roman CYR"/>
          <w:b/>
          <w:bCs/>
          <w:kern w:val="2"/>
        </w:rPr>
      </w:r>
    </w:p>
    <w:tbl>
      <w:tblPr>
        <w:tblpPr w:bottomFromText="0" w:horzAnchor="margin" w:leftFromText="180" w:rightFromText="180" w:tblpX="0" w:tblpXSpec="center" w:tblpY="452" w:topFromText="0" w:vertAnchor="text"/>
        <w:tblW w:w="1048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890"/>
        <w:gridCol w:w="4791"/>
        <w:gridCol w:w="1417"/>
        <w:gridCol w:w="1469"/>
        <w:gridCol w:w="932"/>
        <w:gridCol w:w="985"/>
      </w:tblGrid>
      <w:tr>
        <w:trPr>
          <w:trHeight w:val="1264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-12"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Всього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штатних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одиниць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Посадові особи місцевого самовря-дування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Служ-бовці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Техні-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чний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персо-</w:t>
            </w:r>
          </w:p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нал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Начальник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50" w:leader="none"/>
                <w:tab w:val="left" w:pos="292" w:leader="none"/>
              </w:tabs>
              <w:suppressAutoHyphens w:val="true"/>
              <w:ind w:right="140" w:hanging="0"/>
              <w:jc w:val="both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50" w:leader="none"/>
                <w:tab w:val="left" w:pos="292" w:leader="none"/>
              </w:tabs>
              <w:suppressAutoHyphens w:val="true"/>
              <w:ind w:right="140" w:hanging="0"/>
              <w:jc w:val="both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Юрисконсульт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Інженер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50" w:leader="none"/>
              </w:tabs>
              <w:suppressAutoHyphens w:val="true"/>
              <w:ind w:right="140" w:hanging="0"/>
              <w:jc w:val="both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Секретар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right="140" w:hanging="0"/>
              <w:jc w:val="center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right="140" w:hanging="0"/>
              <w:jc w:val="center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right="140" w:hanging="0"/>
              <w:jc w:val="center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ind w:right="140" w:hanging="0"/>
              <w:jc w:val="center"/>
              <w:rPr>
                <w:b/>
                <w:bCs/>
                <w:color w:val="4F81BD"/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7.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b/>
                <w:bCs/>
                <w:kern w:val="2"/>
              </w:rPr>
              <w:t>Відділ молоді та спорту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b/>
                <w:bCs/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7.1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Начальник відділу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111111"/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color w:val="111111"/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7.2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Діловод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Централізована бухгалтерія управління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Головний бухгалтер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Заступник головного бухгалтера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Старший економіст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8.4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" w:leader="none"/>
                <w:tab w:val="left" w:pos="150" w:leader="none"/>
              </w:tabs>
              <w:suppressAutoHyphens w:val="true"/>
              <w:ind w:right="140" w:hanging="0"/>
              <w:jc w:val="both"/>
              <w:rPr>
                <w:kern w:val="2"/>
              </w:rPr>
            </w:pPr>
            <w:r>
              <w:rPr>
                <w:kern w:val="2"/>
              </w:rPr>
              <w:t>Бухгалтери-спеціалісти І категорії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both"/>
              <w:rPr>
                <w:b/>
                <w:bCs/>
                <w:color w:val="CB0404"/>
                <w:kern w:val="2"/>
              </w:rPr>
            </w:pPr>
            <w:r>
              <w:rPr>
                <w:b/>
                <w:bCs/>
                <w:color w:val="CB0404"/>
                <w:kern w:val="2"/>
              </w:rPr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right="140" w:hanging="0"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Разом по структурі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right="140" w:hanging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-</w:t>
            </w:r>
          </w:p>
        </w:tc>
      </w:tr>
    </w:tbl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hanging="432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</w:r>
    </w:p>
    <w:p>
      <w:pPr>
        <w:pStyle w:val="Normal"/>
        <w:suppressAutoHyphens w:val="true"/>
        <w:ind w:right="140" w:hanging="0"/>
        <w:jc w:val="both"/>
        <w:rPr>
          <w:rFonts w:ascii="Times New Roman CYR" w:hAnsi="Times New Roman CYR" w:cs="Times New Roman CYR"/>
          <w:b/>
          <w:bCs/>
          <w:kern w:val="2"/>
        </w:rPr>
      </w:pPr>
      <w:r>
        <w:rPr>
          <w:rFonts w:cs="Times New Roman CYR" w:ascii="Times New Roman CYR" w:hAnsi="Times New Roman CYR"/>
          <w:b/>
          <w:bCs/>
          <w:kern w:val="2"/>
        </w:rPr>
      </w:r>
    </w:p>
    <w:p>
      <w:pPr>
        <w:pStyle w:val="Normal"/>
        <w:keepNext w:val="true"/>
        <w:keepLines/>
        <w:tabs>
          <w:tab w:val="clear" w:pos="708"/>
          <w:tab w:val="left" w:pos="0" w:leader="none"/>
        </w:tabs>
        <w:suppressAutoHyphens w:val="true"/>
        <w:ind w:left="432" w:right="140" w:hanging="432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Секретар пленарного засідання                                           </w:t>
      </w:r>
      <w:r>
        <w:rPr>
          <w:b/>
          <w:bCs/>
          <w:kern w:val="2"/>
          <w:sz w:val="28"/>
          <w:szCs w:val="28"/>
        </w:rPr>
        <w:t>Ярослав ДЗИНДРА</w:t>
      </w:r>
      <w:r>
        <w:rPr>
          <w:b/>
          <w:bCs/>
          <w:kern w:val="2"/>
          <w:sz w:val="28"/>
          <w:szCs w:val="28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3555" w:leader="none"/>
        </w:tabs>
        <w:ind w:right="-6" w:firstLine="5245"/>
        <w:jc w:val="both"/>
        <w:rPr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e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link w:val="BalloonText"/>
    <w:uiPriority w:val="99"/>
    <w:semiHidden/>
    <w:qFormat/>
    <w:locked/>
    <w:rsid w:val="00976ec0"/>
    <w:rPr>
      <w:rFonts w:ascii="Segoe UI" w:hAnsi="Segoe UI" w:cs="Segoe UI"/>
      <w:sz w:val="18"/>
      <w:szCs w:val="18"/>
      <w:lang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FR1" w:customStyle="1">
    <w:name w:val="FR1"/>
    <w:uiPriority w:val="99"/>
    <w:qFormat/>
    <w:rsid w:val="00976ec0"/>
    <w:pPr>
      <w:widowControl w:val="false"/>
      <w:suppressAutoHyphens w:val="true"/>
      <w:bidi w:val="0"/>
      <w:spacing w:lineRule="auto" w:line="300" w:before="0" w:after="0"/>
      <w:ind w:left="2080" w:right="200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uk-UA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976e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0940"/>
    <w:pPr>
      <w:ind w:left="720" w:hanging="0"/>
    </w:pPr>
    <w:rPr/>
  </w:style>
  <w:style w:type="paragraph" w:styleId="NoSpacing">
    <w:name w:val="No Spacing"/>
    <w:uiPriority w:val="99"/>
    <w:qFormat/>
    <w:rsid w:val="003253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en-US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5F7-0F3B-49D3-B2F3-9F86BC0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LibreOffice/7.5.4.2$Windows_X86_64 LibreOffice_project/36ccfdc35048b057fd9854c757a8b67ec53977b6</Application>
  <AppVersion>15.0000</AppVersion>
  <Pages>1</Pages>
  <Words>160</Words>
  <Characters>651</Characters>
  <CharactersWithSpaces>826</CharactersWithSpaces>
  <Paragraphs>118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Anticor</dc:creator>
  <dc:description/>
  <dc:language>uk-UA</dc:language>
  <cp:lastModifiedBy/>
  <cp:lastPrinted>2024-12-16T11:08:37Z</cp:lastPrinted>
  <dcterms:modified xsi:type="dcterms:W3CDTF">2024-12-18T11:21:24Z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