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  <w:tab w:val="center" w:pos="4680" w:leader="none"/>
        </w:tabs>
        <w:ind w:right="-6" w:hanging="0"/>
        <w:jc w:val="center"/>
        <w:rPr>
          <w:rFonts w:eastAsia="Batang"/>
          <w:b/>
          <w:bCs/>
          <w:sz w:val="28"/>
          <w:szCs w:val="28"/>
          <w:lang w:val="en-US" w:eastAsia="ru-RU"/>
        </w:rPr>
      </w:pPr>
      <w:r>
        <w:rPr>
          <w:rFonts w:eastAsia="Batang"/>
          <w:b/>
          <w:bCs/>
          <w:sz w:val="28"/>
          <w:szCs w:val="28"/>
          <w:lang w:val="en-US" w:eastAsia="ru-RU"/>
        </w:rPr>
      </w:r>
    </w:p>
    <w:p>
      <w:pPr>
        <w:pStyle w:val="Normal"/>
        <w:tabs>
          <w:tab w:val="clear" w:pos="708"/>
          <w:tab w:val="left" w:pos="0" w:leader="none"/>
          <w:tab w:val="center" w:pos="4680" w:leader="none"/>
        </w:tabs>
        <w:ind w:right="-6" w:hanging="0"/>
        <w:jc w:val="center"/>
        <w:rPr>
          <w:b/>
          <w:bCs/>
          <w:sz w:val="28"/>
          <w:szCs w:val="28"/>
          <w:lang w:eastAsia="ru-RU"/>
        </w:rPr>
      </w:pPr>
      <w:r>
        <w:drawing>
          <wp:anchor behindDoc="0" distT="0" distB="0" distL="114935" distR="114935" simplePos="0" locked="0" layoutInCell="0" allowOverlap="1" relativeHeight="6">
            <wp:simplePos x="0" y="0"/>
            <wp:positionH relativeFrom="column">
              <wp:posOffset>2856865</wp:posOffset>
            </wp:positionH>
            <wp:positionV relativeFrom="paragraph">
              <wp:posOffset>-499110</wp:posOffset>
            </wp:positionV>
            <wp:extent cx="581025" cy="8096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6" t="-77" r="-106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bCs/>
          <w:sz w:val="28"/>
          <w:szCs w:val="28"/>
          <w:lang w:eastAsia="ru-RU"/>
        </w:rPr>
        <w:t>ЧОРТКІВСЬКА  МІСЬКА  РАДА</w:t>
      </w:r>
    </w:p>
    <w:p>
      <w:pPr>
        <w:pStyle w:val="Normal"/>
        <w:tabs>
          <w:tab w:val="clear" w:pos="708"/>
          <w:tab w:val="left" w:pos="0" w:leader="none"/>
        </w:tabs>
        <w:ind w:right="-6" w:hang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СЕСІЯ ВОСЬМОГО СКЛИКАННЯ</w:t>
      </w:r>
    </w:p>
    <w:p>
      <w:pPr>
        <w:pStyle w:val="Normal"/>
        <w:tabs>
          <w:tab w:val="clear" w:pos="708"/>
          <w:tab w:val="left" w:pos="0" w:leader="none"/>
          <w:tab w:val="center" w:pos="4680" w:leader="none"/>
        </w:tabs>
        <w:ind w:right="-6" w:hang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center" w:pos="4680" w:leader="none"/>
          <w:tab w:val="left" w:pos="4962" w:leader="none"/>
        </w:tabs>
        <w:ind w:right="-6" w:hanging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  <w:lang w:val="en-US"/>
        </w:rPr>
        <w:t>(</w:t>
      </w:r>
      <w:r>
        <w:rPr>
          <w:b/>
          <w:bCs/>
          <w:sz w:val="28"/>
          <w:szCs w:val="28"/>
          <w:lang w:val="uk-UA"/>
        </w:rPr>
        <w:t>ПРОЄКТ)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142" w:hang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142" w:hang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 xml:space="preserve">              </w:t>
      </w:r>
      <w:r>
        <w:rPr>
          <w:b/>
          <w:bCs/>
          <w:sz w:val="28"/>
          <w:szCs w:val="28"/>
          <w:lang w:val="uk-UA"/>
        </w:rPr>
        <w:t xml:space="preserve">грудня </w:t>
      </w:r>
      <w:r>
        <w:rPr>
          <w:b/>
          <w:bCs/>
          <w:sz w:val="28"/>
          <w:szCs w:val="28"/>
        </w:rPr>
        <w:t>2024 року                                                                              №</w:t>
      </w:r>
      <w:r>
        <w:rPr>
          <w:b/>
          <w:bCs/>
          <w:sz w:val="28"/>
          <w:szCs w:val="28"/>
          <w:lang w:val="en-US"/>
        </w:rPr>
        <w:t xml:space="preserve">          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142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Чортків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1" w:hanging="0"/>
        <w:jc w:val="both"/>
        <w:rPr>
          <w:b/>
          <w:bCs/>
          <w:sz w:val="28"/>
          <w:szCs w:val="28"/>
        </w:rPr>
      </w:pPr>
      <w:bookmarkStart w:id="0" w:name="_Hlk173914792"/>
      <w:r>
        <w:rPr>
          <w:b/>
          <w:bCs/>
          <w:sz w:val="28"/>
          <w:szCs w:val="28"/>
        </w:rPr>
        <w:t>Про затвердження структури виконавчих органів ради та її загальної чисельності в новій редакції</w:t>
      </w:r>
      <w:bookmarkEnd w:id="0"/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142" w:hanging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1"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З метою впорядкування виконавчих органів Чортківської міської ради і загальної чисельності працівників міської ради та її виконавчих органів, </w:t>
      </w:r>
      <w:r>
        <w:rPr>
          <w:sz w:val="28"/>
          <w:szCs w:val="28"/>
        </w:rPr>
        <w:t xml:space="preserve"> структурування функціональних напрямків діяльності виконавчих органів міської ради, забезпечення ефективної роботи, за пропозицією міського голови,  відповідно до статті 11, пункту 5 частини першої статті 26 Закону України «Про місцеве самоврядування в Україні», міська рада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142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142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14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структуру апарату та виконавчих органів Чортківської міської ради, з 01 січня 2025 року, згідно з додатком 1 та додатку 2 до цього рішення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 загальну чисельність апарату ради та її виконавчих органів у кількості 178 штатних одиниць.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3. Вивести з апарату міської ради діловода Білівського старостинського округу — 1 штатна одиниця,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4. Ввести у загальний відділ апарату міської ради 1 штатну одиницю — діловода загального відділу апарату міської ради,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5. Провести вивільнення діловода Білівського старостинського округу згідно чинного законодавства.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6. Ввести у патронатну службу міської ради 1 штатну одиницю — радника міського голови патронатної служби міської ради,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7. Вивести з відділу земельних ресурсів 1 штатну одиницю головного спеціаліста-еколога,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8. Ввести в апарат міської ради 1 штатну одиницю — головного спеціаліста-еколога апарату міської ради,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9. Ліквідувати відділ з питань надзвичайних ситуацій, мобілізаційної, оборонної роботи та ведення військового обліку,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10. Провести вивільнення працівників відділу  з питань надзвичайних ситуацій, мобілізаційної, оборонної роботи та ведення військового обліку згідно чинного законодавства.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11. Створити відділ з питань надзвичайних ситуацій та цивільного захисту міської ради без статусу юридичної особи, у кількості 3 штатні одиниці,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12. Створити відділ мобілізаційної, оборонної роботи та ведення військового обліку без статусу юридичної особи, у кількості 3 штатні одиниці,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13. Створити відділ закордонної співпраці та промоції Чортківської міської ради без статусу юридичної особи, у кількості 3 штатні одиниці,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Вивести з управління комунального господарства 1 штатну одиницю — головний спеціаліст - </w:t>
      </w:r>
      <w:r>
        <w:rPr>
          <w:sz w:val="28"/>
          <w:szCs w:val="28"/>
        </w:rPr>
        <w:t>енергоменеджер</w:t>
      </w:r>
      <w:r>
        <w:rPr>
          <w:sz w:val="28"/>
          <w:szCs w:val="28"/>
        </w:rPr>
        <w:t>, з 01 січня 2025 року.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15. Затвердити структуру та загальну чисельність управління освіти, молоді та спорту Чортківської міської ради згідно з додатком 3 до цього рішення.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16. Затвердити структуру та загальну чисельність управління культури та мистецтв Чортківської міської ради згідно з додатком 4.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16.1 Створити в управлінні культури та мистецтв Чортківської міської ради. Відділ культурно-інтеграційної політики без статусу юридичної особи у кількості 3 штатні одиниці, з 01 січня 2025 року, згідно з додатком 4.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16.2. Створити Централізовану бухгалтерію управління культури та мистецтв Чортківської міської ради у кількості 4 штатні одиниці, з 01 січня 2025 року, згідно з додатком 4.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17. Затвердити структуру та загальну чисельність управління комунального господарства Чортківської міської ради згідно з додатком 5.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18. Затвердити структуру та загальну чисельність фінансового управління Чортківської міської ради згідно з додатком 6.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19. Затвердити структуру та загальну чисельнсть управління соціального захисту та охорони здоров’я Чортківської міської ради згідно з додатком 7.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. Затвердити структуру та загальну чисельність служби у справах дітей Чортківської міської ради згідно з додатком 8.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 xml:space="preserve">. Відділу бухгалтерського обліку </w:t>
      </w:r>
      <w:r>
        <w:rPr>
          <w:bCs/>
          <w:sz w:val="28"/>
          <w:szCs w:val="28"/>
        </w:rPr>
        <w:t xml:space="preserve">та звітності </w:t>
      </w:r>
      <w:r>
        <w:rPr>
          <w:sz w:val="28"/>
          <w:szCs w:val="28"/>
        </w:rPr>
        <w:t>апарату міської ради внести та подати міському голові на затвердження відповідні зміни до штатного розпису.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  <w:lang w:val="en-US"/>
        </w:rPr>
        <w:t>2</w:t>
      </w:r>
      <w:r>
        <w:rPr>
          <w:rFonts w:cs="Times New Roman"/>
          <w:bCs/>
          <w:sz w:val="28"/>
          <w:szCs w:val="28"/>
        </w:rPr>
        <w:t xml:space="preserve">. </w:t>
      </w:r>
      <w:bookmarkStart w:id="1" w:name="_Hlk153530548"/>
      <w:r>
        <w:rPr>
          <w:rFonts w:cs="Times New Roman"/>
          <w:bCs/>
          <w:sz w:val="28"/>
          <w:szCs w:val="28"/>
        </w:rPr>
        <w:t xml:space="preserve">Фінансовому управлінню міської ради </w:t>
      </w:r>
      <w:bookmarkEnd w:id="1"/>
      <w:r>
        <w:rPr>
          <w:rFonts w:cs="Times New Roman"/>
          <w:bCs/>
          <w:sz w:val="28"/>
          <w:szCs w:val="28"/>
        </w:rPr>
        <w:t>врахувати дані зміни при внесенні змін до бюджету Чортківської міської територіальної громади на 2025 рік.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23. Копію рішення направити до відділу персоналу та нагород міської ради, відділу бухгалтерського обліку </w:t>
      </w:r>
      <w:bookmarkStart w:id="2" w:name="_Hlk153530781"/>
      <w:r>
        <w:rPr>
          <w:rFonts w:cs="Times New Roman"/>
          <w:bCs/>
          <w:sz w:val="28"/>
          <w:szCs w:val="28"/>
        </w:rPr>
        <w:t xml:space="preserve">та звітності </w:t>
      </w:r>
      <w:bookmarkEnd w:id="2"/>
      <w:r>
        <w:rPr>
          <w:rFonts w:cs="Times New Roman"/>
          <w:bCs/>
          <w:sz w:val="28"/>
          <w:szCs w:val="28"/>
        </w:rPr>
        <w:t>апарату міської ради, управління соціального захисту та охорони здоров’я міської ради, фінансового управлінню міської ради, управлінню культури та мистецтв міської ради, управлінню комунального господарства міської ради.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24. Визнати таким, що втратило чинність рішення від 18 серпня 2022 року №1088 «Про затвердження структури виконавчих органів ради та її  загальної чисельності в новій редакції», рішення від 25 червня 2024 року № 2125 « Про внесення змін до рішення міської ради від 18 серпня 2022 року №1088 «Про затвердження структури виконавчих органів ради та її  загальної чисельності в новій редакції», рішення від 16 серпня 2024 року № 2171 «Про внесення змін до рішення міської ради від 18 серпня 2022 року №1088 «Про затвердження структури виконавчих органів ради та її  загальної чисельності в новій редакції», рішення від 15.11.2024 № 2296 «Про внесення змін до рішення міської ради від 16.08.2024 №2171 «Про внесення змін до рішення міської ради 18.08.2022 №1088 «Про затвердження структури виконавчих органів ради та їх загальної чисельності новій редакції».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25. Затвердити положення про відділ з питань надзвичайних ситуацій Чортківської міської ради згідно з додатком 9.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26. Затвердити положення про відділ мобілізаційної, оборонної роботи та ведення військового обліку згідно з додатком 10.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27. Затвердити положення про відділ закордонної співпраці та промоції Чортківської міської ради згідно з додатком 11.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28. Затвердити положення про відділ муніципального розвитку та енергоменеджменту в новій редакції згідно з додатком 12.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>29. Затвердити положення управління культури та мистецтв Чортківської міської ради згідно з додатком 13.</w:t>
      </w:r>
    </w:p>
    <w:p>
      <w:pPr>
        <w:pStyle w:val="ListParagraph"/>
        <w:tabs>
          <w:tab w:val="clear" w:pos="708"/>
          <w:tab w:val="left" w:pos="851" w:leader="none"/>
        </w:tabs>
        <w:ind w:left="567" w:hanging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30. Контроль за виконанням цього рішення покласти на постійну комісію міської ради з питань бюджету та економічного розвитку.</w:t>
      </w:r>
    </w:p>
    <w:p>
      <w:pPr>
        <w:pStyle w:val="Normal"/>
        <w:tabs>
          <w:tab w:val="clear" w:pos="708"/>
          <w:tab w:val="left" w:pos="0" w:leader="none"/>
          <w:tab w:val="left" w:pos="1276" w:leader="none"/>
        </w:tabs>
        <w:suppressAutoHyphens w:val="true"/>
        <w:ind w:right="-1" w:hang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Володимир ШМАТЬКО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right="-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left="1416" w:right="-5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Любомир Махомет</w:t>
      </w:r>
    </w:p>
    <w:p>
      <w:pPr>
        <w:pStyle w:val="Normal"/>
        <w:widowControl w:val="false"/>
        <w:suppressAutoHyphens w:val="true"/>
        <w:ind w:left="1416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Ярослав Дзиндра</w:t>
      </w:r>
    </w:p>
    <w:p>
      <w:pPr>
        <w:pStyle w:val="Normal"/>
        <w:widowControl w:val="false"/>
        <w:suppressAutoHyphens w:val="true"/>
        <w:ind w:left="1416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Наталія Вандяк</w:t>
      </w:r>
    </w:p>
    <w:p>
      <w:pPr>
        <w:pStyle w:val="Normal"/>
        <w:widowControl w:val="false"/>
        <w:suppressAutoHyphens w:val="true"/>
        <w:ind w:left="1416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Наталія Гладун</w:t>
      </w:r>
    </w:p>
    <w:p>
      <w:pPr>
        <w:pStyle w:val="Normal"/>
        <w:widowControl w:val="false"/>
        <w:suppressAutoHyphens w:val="true"/>
        <w:ind w:left="1416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Наталія Гуменюк</w:t>
      </w:r>
    </w:p>
    <w:p>
      <w:pPr>
        <w:pStyle w:val="Normal"/>
        <w:widowControl w:val="false"/>
        <w:suppressAutoHyphens w:val="true"/>
        <w:ind w:left="1416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Юлія Волинець</w:t>
      </w:r>
    </w:p>
    <w:sectPr>
      <w:headerReference w:type="default" r:id="rId3"/>
      <w:type w:val="nextPage"/>
      <w:pgSz w:w="11906" w:h="16838"/>
      <w:pgMar w:left="1701" w:right="567" w:gutter="0" w:header="709" w:top="993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largest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path="m0,0l-2147483645,0l-2147483645,-2147483646l0,-2147483646xe" stroked="f" o:allowincell="f" style="position:absolute;margin-left:237.9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6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29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locked/>
    <w:rsid w:val="00976ec0"/>
    <w:rPr>
      <w:rFonts w:ascii="Segoe UI" w:hAnsi="Segoe UI" w:cs="Segoe UI"/>
      <w:sz w:val="18"/>
      <w:szCs w:val="18"/>
      <w:lang w:eastAsia="uk-UA"/>
    </w:rPr>
  </w:style>
  <w:style w:type="character" w:styleId="Style15" w:customStyle="1">
    <w:name w:val="Верхній колонтитул Знак"/>
    <w:basedOn w:val="DefaultParagraphFont"/>
    <w:uiPriority w:val="99"/>
    <w:semiHidden/>
    <w:qFormat/>
    <w:rsid w:val="001c0c4c"/>
    <w:rPr>
      <w:rFonts w:ascii="Times New Roman" w:hAnsi="Times New Roman"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2c2fd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FR1" w:customStyle="1">
    <w:name w:val="FR1"/>
    <w:uiPriority w:val="99"/>
    <w:qFormat/>
    <w:rsid w:val="00976ec0"/>
    <w:pPr>
      <w:widowControl w:val="false"/>
      <w:suppressAutoHyphens w:val="true"/>
      <w:bidi w:val="0"/>
      <w:spacing w:lineRule="auto" w:line="300" w:before="0" w:after="0"/>
      <w:ind w:left="2080" w:right="2000"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976ec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0940"/>
    <w:pPr>
      <w:ind w:left="720" w:hanging="0"/>
    </w:pPr>
    <w:rPr/>
  </w:style>
  <w:style w:type="paragraph" w:styleId="NoSpacing">
    <w:name w:val="No Spacing"/>
    <w:uiPriority w:val="99"/>
    <w:qFormat/>
    <w:rsid w:val="003253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en-US" w:bidi="ar-SA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5"/>
    <w:uiPriority w:val="99"/>
    <w:rsid w:val="002c2fde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1b3469"/>
    <w:pPr/>
    <w:rPr/>
  </w:style>
  <w:style w:type="paragraph" w:styleId="Docdata" w:customStyle="1">
    <w:name w:val="docdata"/>
    <w:basedOn w:val="Normal"/>
    <w:qFormat/>
    <w:rsid w:val="00332929"/>
    <w:pPr>
      <w:spacing w:beforeAutospacing="1" w:afterAutospacing="1"/>
    </w:pPr>
    <w:rPr/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30FE-2632-4065-908D-0E21AFC5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LibreOffice/7.5.4.2$Windows_X86_64 LibreOffice_project/36ccfdc35048b057fd9854c757a8b67ec53977b6</Application>
  <AppVersion>15.0000</AppVersion>
  <Pages>3</Pages>
  <Words>845</Words>
  <Characters>5201</Characters>
  <CharactersWithSpaces>6213</CharactersWithSpaces>
  <Paragraphs>48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2024-08-08T05:52:00Z</dcterms:created>
  <dc:creator>Anticor</dc:creator>
  <dc:description/>
  <dc:language>uk-UA</dc:language>
  <cp:lastModifiedBy/>
  <cp:lastPrinted>2024-12-18T16:00:41Z</cp:lastPrinted>
  <dcterms:modified xsi:type="dcterms:W3CDTF">2024-12-20T09:07:46Z</dcterms:modified>
  <cp:revision>24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