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32"/>
        <w:rPr>
          <w:sz w:val="20"/>
        </w:rPr>
      </w:pPr>
      <w:r>
        <w:rPr>
          <w:sz w:val="20"/>
        </w:rPr>
        <w:drawing>
          <wp:inline distT="0" distB="0" distL="0" distR="0">
            <wp:extent cx="573352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57"/>
        <w:ind w:left="4121" w:right="4137"/>
        <w:jc w:val="center"/>
      </w:pPr>
      <w:r>
        <w:rPr/>
        <w:t>УКРАЇНА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10" w:right="1238" w:firstLine="1495"/>
        <w:jc w:val="left"/>
        <w:rPr>
          <w:b/>
          <w:sz w:val="28"/>
        </w:rPr>
      </w:pPr>
      <w:r>
        <w:rPr>
          <w:b/>
          <w:sz w:val="28"/>
        </w:rPr>
        <w:t>ЧОРТКІВСЬКА МІСЬКА  РАДА ТРИДЦЯТЬ ШОСТА СЕСІЯ СЬОМОГО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Heading1"/>
        <w:spacing w:before="249"/>
        <w:ind w:left="4130" w:right="4137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tabs>
          <w:tab w:pos="7498" w:val="left" w:leader="none"/>
        </w:tabs>
        <w:spacing w:before="1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 16 березня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1001</w:t>
      </w:r>
    </w:p>
    <w:p>
      <w:pPr>
        <w:pStyle w:val="Heading1"/>
        <w:spacing w:before="50"/>
      </w:pPr>
      <w:r>
        <w:rPr/>
        <w:t>м. Чортків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240" w:lineRule="auto" w:before="0"/>
        <w:ind w:left="101" w:right="2645" w:firstLine="0"/>
        <w:jc w:val="both"/>
        <w:rPr>
          <w:b/>
          <w:sz w:val="28"/>
        </w:rPr>
      </w:pPr>
      <w:r>
        <w:rPr>
          <w:b/>
          <w:sz w:val="28"/>
        </w:rPr>
        <w:t>Про  затвердження  Порядку  часткової    компенсації з міського бюджету відсоткових ставок за кредитами, що надаються на реалізацію проектів суб’єктів малого та середнього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підприємництва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01" w:right="116" w:firstLine="708"/>
        <w:jc w:val="both"/>
      </w:pPr>
      <w:r>
        <w:rPr/>
        <w:t>З метою врегулювання питання часткової компенсації з міського бюджету відсоткових ставок за кредитами, що надаються на реалізацію проектів суб’єктів малого та середнього підприємництва, на виконання Програми розвитку малого та середнього підприємництва міста Чорткова на 2017-2018 роки, затвердженої рішенням ради від 23.12.2016 № 490 зі змінами затвердженими рішенням міської ради від 12 грудня 2017 року № 916, керуючись статтею 26 Закону України «Про місцеве самоврядування в Україні», міська рада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ВИРІШИЛА: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Затвердити Порядок часткової компенсації відсоткових ставок за кредитами, що надаються на реалізацію проектів суб’єктів малого та середнього підприємництва згідно</w:t>
      </w:r>
      <w:r>
        <w:rPr>
          <w:spacing w:val="-4"/>
          <w:sz w:val="28"/>
        </w:rPr>
        <w:t> </w:t>
      </w:r>
      <w:r>
        <w:rPr>
          <w:sz w:val="28"/>
        </w:rPr>
        <w:t>додатку.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Копію рішення направити у відділ економічного розвитку, інвестицій та комунальної власності міської</w:t>
      </w:r>
      <w:r>
        <w:rPr>
          <w:spacing w:val="-4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Контроль за організацією виконання рішення покласти на заступника міського голови з питань діяльності виконавчих органів міської ради Тимофія Р.М. та постійну комісію міської ради з бюджетно–фінансових, економічних питань, комунального майна та</w:t>
      </w:r>
      <w:r>
        <w:rPr>
          <w:spacing w:val="-6"/>
          <w:sz w:val="28"/>
        </w:rPr>
        <w:t> </w:t>
      </w:r>
      <w:r>
        <w:rPr>
          <w:sz w:val="28"/>
        </w:rPr>
        <w:t>інвестицій.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6322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-1"/>
        </w:rPr>
        <w:t> </w:t>
      </w:r>
      <w:r>
        <w:rPr/>
        <w:t>ШМАТЬКО</w:t>
      </w:r>
    </w:p>
    <w:sectPr>
      <w:type w:val="continuous"/>
      <w:pgSz w:w="11900" w:h="16840"/>
      <w:pgMar w:top="960" w:bottom="280" w:left="1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2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4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6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48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1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72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34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96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5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№1001</dc:title>
  <dcterms:created xsi:type="dcterms:W3CDTF">2020-10-05T08:50:53Z</dcterms:created>
  <dcterms:modified xsi:type="dcterms:W3CDTF">2020-10-05T08:50:53Z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